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2B" w:rsidRPr="006973DC" w:rsidRDefault="00C00C2B" w:rsidP="004E5FDB">
      <w:pPr>
        <w:spacing w:after="0"/>
        <w:jc w:val="both"/>
      </w:pPr>
    </w:p>
    <w:p w:rsidR="008D4CBC" w:rsidRPr="003972E4" w:rsidRDefault="008D4CBC" w:rsidP="008D4CBC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8"/>
          <w:szCs w:val="28"/>
        </w:rPr>
      </w:pPr>
      <w:r w:rsidRPr="003972E4">
        <w:rPr>
          <w:rFonts w:ascii="Arial" w:hAnsi="Arial" w:cs="Arial"/>
          <w:b/>
          <w:iCs/>
          <w:sz w:val="28"/>
          <w:szCs w:val="28"/>
        </w:rPr>
        <w:t xml:space="preserve">FINANČNÍ ÚŘAD PRO KRAJ VYSOČINA </w:t>
      </w:r>
    </w:p>
    <w:p w:rsidR="008D4CBC" w:rsidRPr="00C12EED" w:rsidRDefault="008D4CBC" w:rsidP="008D4CBC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C12EED">
        <w:rPr>
          <w:rFonts w:ascii="Arial" w:hAnsi="Arial" w:cs="Arial"/>
          <w:b/>
          <w:iCs/>
          <w:szCs w:val="24"/>
        </w:rPr>
        <w:t xml:space="preserve">Tolstého 2, 586 01 Jihlava                                                                                </w:t>
      </w:r>
    </w:p>
    <w:p w:rsidR="00367AA3" w:rsidRDefault="00367AA3" w:rsidP="00BC5C27">
      <w:pPr>
        <w:jc w:val="center"/>
        <w:outlineLvl w:val="0"/>
        <w:rPr>
          <w:b/>
          <w:sz w:val="32"/>
          <w:szCs w:val="32"/>
        </w:rPr>
      </w:pPr>
    </w:p>
    <w:p w:rsidR="00BC5C27" w:rsidRPr="008D5A39" w:rsidRDefault="00BC5C27" w:rsidP="00BC5C2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D5A39">
        <w:rPr>
          <w:rFonts w:ascii="Arial" w:hAnsi="Arial" w:cs="Arial"/>
          <w:b/>
          <w:sz w:val="32"/>
          <w:szCs w:val="32"/>
        </w:rPr>
        <w:t>Tisková zpráva</w:t>
      </w:r>
    </w:p>
    <w:p w:rsidR="0066293F" w:rsidRPr="008D5A39" w:rsidRDefault="00E60C37" w:rsidP="0066293F">
      <w:pPr>
        <w:spacing w:line="240" w:lineRule="exact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8D5A39">
        <w:rPr>
          <w:rFonts w:ascii="Arial" w:hAnsi="Arial" w:cs="Arial"/>
          <w:b/>
          <w:sz w:val="30"/>
          <w:szCs w:val="30"/>
          <w:u w:val="single"/>
        </w:rPr>
        <w:t xml:space="preserve">Ukončení provozu pokladen pro výběr hotovostních plateb daní </w:t>
      </w:r>
    </w:p>
    <w:p w:rsidR="00C00C2B" w:rsidRPr="008D5A39" w:rsidRDefault="00E60C37" w:rsidP="0066293F">
      <w:pPr>
        <w:spacing w:line="240" w:lineRule="exact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8D5A39">
        <w:rPr>
          <w:rFonts w:ascii="Arial" w:hAnsi="Arial" w:cs="Arial"/>
          <w:b/>
          <w:sz w:val="30"/>
          <w:szCs w:val="30"/>
          <w:u w:val="single"/>
        </w:rPr>
        <w:t>a poplatků</w:t>
      </w:r>
    </w:p>
    <w:p w:rsidR="00E60C37" w:rsidRPr="008D5A39" w:rsidRDefault="00E60C37" w:rsidP="00E60C37">
      <w:pPr>
        <w:tabs>
          <w:tab w:val="left" w:pos="4395"/>
        </w:tabs>
        <w:jc w:val="both"/>
        <w:rPr>
          <w:rFonts w:ascii="Arial" w:hAnsi="Arial" w:cs="Arial"/>
          <w:b/>
          <w:bCs/>
          <w:iCs/>
        </w:rPr>
      </w:pPr>
    </w:p>
    <w:p w:rsidR="00E60C37" w:rsidRPr="008D5A39" w:rsidRDefault="00E64D21" w:rsidP="008D5A39">
      <w:pPr>
        <w:tabs>
          <w:tab w:val="left" w:pos="4395"/>
        </w:tabs>
        <w:spacing w:after="0"/>
        <w:jc w:val="both"/>
        <w:rPr>
          <w:rFonts w:ascii="Arial" w:hAnsi="Arial" w:cs="Arial"/>
          <w:bCs/>
          <w:iCs/>
        </w:rPr>
      </w:pPr>
      <w:r w:rsidRPr="008D5A39">
        <w:rPr>
          <w:rFonts w:ascii="Arial" w:hAnsi="Arial" w:cs="Arial"/>
          <w:bCs/>
          <w:iCs/>
        </w:rPr>
        <w:t>Jedním z kroků</w:t>
      </w:r>
      <w:r w:rsidR="00E60C37" w:rsidRPr="008D5A39">
        <w:rPr>
          <w:rFonts w:ascii="Arial" w:hAnsi="Arial" w:cs="Arial"/>
          <w:bCs/>
          <w:iCs/>
        </w:rPr>
        <w:t xml:space="preserve"> k optimalizaci fungování Finanční správy je ukončení provozu pokladen pro výběr hotovostních plateb daní a poplatků na </w:t>
      </w:r>
      <w:hyperlink r:id="rId8" w:history="1">
        <w:r w:rsidR="00E60C37" w:rsidRPr="008D5A39">
          <w:rPr>
            <w:rStyle w:val="Hypertextovodkaz"/>
            <w:rFonts w:ascii="Arial" w:hAnsi="Arial" w:cs="Arial"/>
            <w:bCs/>
            <w:iCs/>
          </w:rPr>
          <w:t>103 „neokresních“ územních pracovištích finančních úřadů</w:t>
        </w:r>
      </w:hyperlink>
      <w:r w:rsidR="008D4CBC" w:rsidRPr="008D5A39">
        <w:rPr>
          <w:rFonts w:ascii="Arial" w:hAnsi="Arial" w:cs="Arial"/>
          <w:bCs/>
          <w:iCs/>
        </w:rPr>
        <w:t xml:space="preserve"> (ÚP)</w:t>
      </w:r>
      <w:r w:rsidR="00E60C37" w:rsidRPr="008D5A39">
        <w:rPr>
          <w:rFonts w:ascii="Arial" w:hAnsi="Arial" w:cs="Arial"/>
          <w:bCs/>
          <w:iCs/>
        </w:rPr>
        <w:t xml:space="preserve"> a to již od 1. září 2015. Důvodem je zejména skutečnost, že náklady na jednu transakci na pokladně územního pracoviště finančního úřadu představují částku ve výši 42,50 korun, přičemž například </w:t>
      </w:r>
      <w:r w:rsidR="00B44692" w:rsidRPr="008D5A39">
        <w:rPr>
          <w:rFonts w:ascii="Arial" w:hAnsi="Arial" w:cs="Arial"/>
          <w:bCs/>
          <w:iCs/>
        </w:rPr>
        <w:t>Č</w:t>
      </w:r>
      <w:r w:rsidR="00E60C37" w:rsidRPr="008D5A39">
        <w:rPr>
          <w:rFonts w:ascii="Arial" w:hAnsi="Arial" w:cs="Arial"/>
          <w:bCs/>
          <w:iCs/>
        </w:rPr>
        <w:t xml:space="preserve">eská pošta </w:t>
      </w:r>
      <w:proofErr w:type="gramStart"/>
      <w:r w:rsidR="00E60C37" w:rsidRPr="008D5A39">
        <w:rPr>
          <w:rFonts w:ascii="Arial" w:hAnsi="Arial" w:cs="Arial"/>
          <w:bCs/>
          <w:iCs/>
        </w:rPr>
        <w:t>s.p.</w:t>
      </w:r>
      <w:proofErr w:type="gramEnd"/>
      <w:r w:rsidR="00E60C37" w:rsidRPr="008D5A39">
        <w:rPr>
          <w:rFonts w:ascii="Arial" w:hAnsi="Arial" w:cs="Arial"/>
          <w:bCs/>
          <w:iCs/>
        </w:rPr>
        <w:t xml:space="preserve"> nabízí obdobnou službu v komerčním režimu za 29 korun. Navíc v případě zachování pokladen by musela Finanční správa investovat značné prostředky do bezpečnosti pokladen, což by s ohledem na tento záměr nebylo hospodárné.</w:t>
      </w:r>
    </w:p>
    <w:p w:rsidR="008D4CBC" w:rsidRPr="008D5A39" w:rsidRDefault="008D4CBC" w:rsidP="008D5A39">
      <w:pPr>
        <w:tabs>
          <w:tab w:val="left" w:pos="4395"/>
        </w:tabs>
        <w:spacing w:after="0"/>
        <w:jc w:val="both"/>
        <w:rPr>
          <w:rFonts w:ascii="Arial" w:hAnsi="Arial" w:cs="Arial"/>
          <w:bCs/>
          <w:iCs/>
        </w:rPr>
      </w:pPr>
    </w:p>
    <w:p w:rsidR="00E60C37" w:rsidRPr="008D5A39" w:rsidRDefault="008D4CBC" w:rsidP="008D5A39">
      <w:pPr>
        <w:tabs>
          <w:tab w:val="left" w:pos="4395"/>
        </w:tabs>
        <w:spacing w:after="0"/>
        <w:jc w:val="both"/>
        <w:rPr>
          <w:rFonts w:ascii="Arial" w:hAnsi="Arial" w:cs="Arial"/>
          <w:bCs/>
          <w:iCs/>
        </w:rPr>
      </w:pPr>
      <w:r w:rsidRPr="008D5A39">
        <w:rPr>
          <w:rFonts w:ascii="Arial" w:hAnsi="Arial" w:cs="Arial"/>
          <w:bCs/>
          <w:iCs/>
        </w:rPr>
        <w:t>V Kraji Vysočina</w:t>
      </w:r>
      <w:r w:rsidR="00E60C37" w:rsidRPr="008D5A39">
        <w:rPr>
          <w:rFonts w:ascii="Arial" w:hAnsi="Arial" w:cs="Arial"/>
          <w:bCs/>
          <w:iCs/>
        </w:rPr>
        <w:t xml:space="preserve"> bude k 1. 9. 2015 ukončen provoz pokladen na níže uvedených územních pracovištích:</w:t>
      </w:r>
    </w:p>
    <w:p w:rsidR="008D4CBC" w:rsidRPr="008D5A39" w:rsidRDefault="008D4CBC" w:rsidP="008D5A39">
      <w:pPr>
        <w:tabs>
          <w:tab w:val="left" w:pos="4395"/>
        </w:tabs>
        <w:spacing w:after="0"/>
        <w:jc w:val="both"/>
        <w:rPr>
          <w:rFonts w:ascii="Arial" w:hAnsi="Arial" w:cs="Arial"/>
          <w:b/>
          <w:bCs/>
          <w:iCs/>
        </w:rPr>
      </w:pPr>
    </w:p>
    <w:p w:rsidR="008D4CBC" w:rsidRPr="008D5A39" w:rsidRDefault="008D4CBC" w:rsidP="008D5A39">
      <w:pPr>
        <w:tabs>
          <w:tab w:val="left" w:pos="4395"/>
        </w:tabs>
        <w:spacing w:after="0"/>
        <w:jc w:val="both"/>
        <w:rPr>
          <w:rFonts w:ascii="Arial" w:hAnsi="Arial" w:cs="Arial"/>
          <w:b/>
          <w:bCs/>
          <w:iCs/>
        </w:rPr>
      </w:pPr>
      <w:r w:rsidRPr="008D5A39">
        <w:rPr>
          <w:rFonts w:ascii="Arial" w:hAnsi="Arial" w:cs="Arial"/>
          <w:b/>
          <w:bCs/>
          <w:iCs/>
        </w:rPr>
        <w:t>ÚP v Bystřici nad Pernštejnem</w:t>
      </w:r>
    </w:p>
    <w:p w:rsidR="008D4CBC" w:rsidRPr="008D5A39" w:rsidRDefault="008D4CBC" w:rsidP="008D5A39">
      <w:pPr>
        <w:tabs>
          <w:tab w:val="left" w:pos="4395"/>
        </w:tabs>
        <w:spacing w:after="0"/>
        <w:jc w:val="both"/>
        <w:rPr>
          <w:rFonts w:ascii="Arial" w:hAnsi="Arial" w:cs="Arial"/>
          <w:b/>
          <w:bCs/>
          <w:iCs/>
        </w:rPr>
      </w:pPr>
      <w:r w:rsidRPr="008D5A39">
        <w:rPr>
          <w:rFonts w:ascii="Arial" w:hAnsi="Arial" w:cs="Arial"/>
          <w:b/>
          <w:bCs/>
          <w:iCs/>
        </w:rPr>
        <w:t>ÚP v Humpolci</w:t>
      </w:r>
    </w:p>
    <w:p w:rsidR="008D4CBC" w:rsidRPr="008D5A39" w:rsidRDefault="008D4CBC" w:rsidP="008D5A39">
      <w:pPr>
        <w:tabs>
          <w:tab w:val="left" w:pos="4395"/>
        </w:tabs>
        <w:spacing w:after="0"/>
        <w:jc w:val="both"/>
        <w:rPr>
          <w:rFonts w:ascii="Arial" w:hAnsi="Arial" w:cs="Arial"/>
          <w:b/>
          <w:bCs/>
          <w:iCs/>
        </w:rPr>
      </w:pPr>
      <w:r w:rsidRPr="008D5A39">
        <w:rPr>
          <w:rFonts w:ascii="Arial" w:hAnsi="Arial" w:cs="Arial"/>
          <w:b/>
          <w:bCs/>
          <w:iCs/>
        </w:rPr>
        <w:t>ÚP v Chotěboři</w:t>
      </w:r>
    </w:p>
    <w:p w:rsidR="008D4CBC" w:rsidRPr="008D5A39" w:rsidRDefault="008D4CBC" w:rsidP="008D5A39">
      <w:pPr>
        <w:tabs>
          <w:tab w:val="left" w:pos="4395"/>
        </w:tabs>
        <w:spacing w:after="0"/>
        <w:jc w:val="both"/>
        <w:rPr>
          <w:rFonts w:ascii="Arial" w:hAnsi="Arial" w:cs="Arial"/>
          <w:b/>
          <w:bCs/>
          <w:iCs/>
        </w:rPr>
      </w:pPr>
      <w:r w:rsidRPr="008D5A39">
        <w:rPr>
          <w:rFonts w:ascii="Arial" w:hAnsi="Arial" w:cs="Arial"/>
          <w:b/>
          <w:bCs/>
          <w:iCs/>
        </w:rPr>
        <w:t>ÚP v Ledči nad Sázavou</w:t>
      </w:r>
    </w:p>
    <w:p w:rsidR="008D4CBC" w:rsidRPr="008D5A39" w:rsidRDefault="008D4CBC" w:rsidP="008D5A39">
      <w:pPr>
        <w:tabs>
          <w:tab w:val="left" w:pos="4395"/>
        </w:tabs>
        <w:spacing w:after="0"/>
        <w:jc w:val="both"/>
        <w:rPr>
          <w:rFonts w:ascii="Arial" w:hAnsi="Arial" w:cs="Arial"/>
          <w:b/>
          <w:bCs/>
          <w:iCs/>
        </w:rPr>
      </w:pPr>
      <w:r w:rsidRPr="008D5A39">
        <w:rPr>
          <w:rFonts w:ascii="Arial" w:hAnsi="Arial" w:cs="Arial"/>
          <w:b/>
          <w:bCs/>
          <w:iCs/>
        </w:rPr>
        <w:t>ÚP v Moravských Budějovicích</w:t>
      </w:r>
    </w:p>
    <w:p w:rsidR="008D4CBC" w:rsidRPr="008D5A39" w:rsidRDefault="008D4CBC" w:rsidP="008D5A39">
      <w:pPr>
        <w:tabs>
          <w:tab w:val="left" w:pos="4395"/>
        </w:tabs>
        <w:spacing w:after="0"/>
        <w:jc w:val="both"/>
        <w:rPr>
          <w:rFonts w:ascii="Arial" w:hAnsi="Arial" w:cs="Arial"/>
          <w:b/>
          <w:bCs/>
          <w:iCs/>
        </w:rPr>
      </w:pPr>
      <w:r w:rsidRPr="008D5A39">
        <w:rPr>
          <w:rFonts w:ascii="Arial" w:hAnsi="Arial" w:cs="Arial"/>
          <w:b/>
          <w:bCs/>
          <w:iCs/>
        </w:rPr>
        <w:t>ÚP v Náměšti nad Oslavou</w:t>
      </w:r>
    </w:p>
    <w:p w:rsidR="008D4CBC" w:rsidRPr="008D5A39" w:rsidRDefault="008D4CBC" w:rsidP="008D5A39">
      <w:pPr>
        <w:tabs>
          <w:tab w:val="left" w:pos="4395"/>
        </w:tabs>
        <w:spacing w:after="0"/>
        <w:jc w:val="both"/>
        <w:rPr>
          <w:rFonts w:ascii="Arial" w:hAnsi="Arial" w:cs="Arial"/>
          <w:b/>
          <w:bCs/>
          <w:iCs/>
        </w:rPr>
      </w:pPr>
      <w:r w:rsidRPr="008D5A39">
        <w:rPr>
          <w:rFonts w:ascii="Arial" w:hAnsi="Arial" w:cs="Arial"/>
          <w:b/>
          <w:bCs/>
          <w:iCs/>
        </w:rPr>
        <w:t>ÚP v Pacově</w:t>
      </w:r>
    </w:p>
    <w:p w:rsidR="008D4CBC" w:rsidRPr="008D5A39" w:rsidRDefault="008D4CBC" w:rsidP="008D5A39">
      <w:pPr>
        <w:tabs>
          <w:tab w:val="left" w:pos="4395"/>
        </w:tabs>
        <w:spacing w:after="0"/>
        <w:jc w:val="both"/>
        <w:rPr>
          <w:rFonts w:ascii="Arial" w:hAnsi="Arial" w:cs="Arial"/>
          <w:b/>
          <w:bCs/>
          <w:iCs/>
        </w:rPr>
      </w:pPr>
      <w:r w:rsidRPr="008D5A39">
        <w:rPr>
          <w:rFonts w:ascii="Arial" w:hAnsi="Arial" w:cs="Arial"/>
          <w:b/>
          <w:bCs/>
          <w:iCs/>
        </w:rPr>
        <w:t>ÚP v Telči</w:t>
      </w:r>
    </w:p>
    <w:p w:rsidR="008D4CBC" w:rsidRPr="008D5A39" w:rsidRDefault="008D4CBC" w:rsidP="008D5A39">
      <w:pPr>
        <w:tabs>
          <w:tab w:val="left" w:pos="4395"/>
        </w:tabs>
        <w:spacing w:after="0"/>
        <w:jc w:val="both"/>
        <w:rPr>
          <w:rFonts w:ascii="Arial" w:hAnsi="Arial" w:cs="Arial"/>
          <w:b/>
          <w:bCs/>
          <w:iCs/>
        </w:rPr>
      </w:pPr>
    </w:p>
    <w:p w:rsidR="00E60C37" w:rsidRPr="008D5A39" w:rsidRDefault="00E60C37" w:rsidP="008D5A39">
      <w:pPr>
        <w:tabs>
          <w:tab w:val="left" w:pos="4395"/>
        </w:tabs>
        <w:spacing w:after="0"/>
        <w:jc w:val="both"/>
        <w:rPr>
          <w:rFonts w:ascii="Arial" w:hAnsi="Arial" w:cs="Arial"/>
          <w:bCs/>
          <w:iCs/>
        </w:rPr>
      </w:pPr>
      <w:r w:rsidRPr="008D5A39">
        <w:rPr>
          <w:rFonts w:ascii="Arial" w:hAnsi="Arial" w:cs="Arial"/>
          <w:bCs/>
          <w:iCs/>
        </w:rPr>
        <w:t>Možnost zaplatit platbu daní a poplatků v hotovosti zůstává nadále zachována prostřednictvím pokladen na těchto územních pracovištích:</w:t>
      </w:r>
    </w:p>
    <w:p w:rsidR="008D4CBC" w:rsidRPr="008D5A39" w:rsidRDefault="008D4CBC" w:rsidP="008D5A39">
      <w:pPr>
        <w:tabs>
          <w:tab w:val="left" w:pos="4395"/>
        </w:tabs>
        <w:spacing w:after="0"/>
        <w:jc w:val="both"/>
        <w:rPr>
          <w:rFonts w:ascii="Arial" w:hAnsi="Arial" w:cs="Arial"/>
          <w:b/>
          <w:bCs/>
          <w:iCs/>
        </w:rPr>
      </w:pPr>
    </w:p>
    <w:p w:rsidR="008D4CBC" w:rsidRPr="008D5A39" w:rsidRDefault="008D4CBC" w:rsidP="008D5A39">
      <w:pPr>
        <w:tabs>
          <w:tab w:val="left" w:pos="4395"/>
        </w:tabs>
        <w:spacing w:after="0"/>
        <w:jc w:val="both"/>
        <w:rPr>
          <w:rFonts w:ascii="Arial" w:hAnsi="Arial" w:cs="Arial"/>
          <w:b/>
          <w:bCs/>
          <w:iCs/>
        </w:rPr>
      </w:pPr>
      <w:r w:rsidRPr="008D5A39">
        <w:rPr>
          <w:rFonts w:ascii="Arial" w:hAnsi="Arial" w:cs="Arial"/>
          <w:b/>
          <w:bCs/>
          <w:iCs/>
        </w:rPr>
        <w:t>ÚP v Havlíčkově Brodě</w:t>
      </w:r>
    </w:p>
    <w:p w:rsidR="008D4CBC" w:rsidRPr="008D5A39" w:rsidRDefault="008D4CBC" w:rsidP="008D5A39">
      <w:pPr>
        <w:tabs>
          <w:tab w:val="left" w:pos="4395"/>
        </w:tabs>
        <w:spacing w:after="0"/>
        <w:jc w:val="both"/>
        <w:rPr>
          <w:rFonts w:ascii="Arial" w:hAnsi="Arial" w:cs="Arial"/>
          <w:b/>
          <w:bCs/>
          <w:iCs/>
        </w:rPr>
      </w:pPr>
      <w:r w:rsidRPr="008D5A39">
        <w:rPr>
          <w:rFonts w:ascii="Arial" w:hAnsi="Arial" w:cs="Arial"/>
          <w:b/>
          <w:bCs/>
          <w:iCs/>
        </w:rPr>
        <w:t>ÚP v Jihlavě</w:t>
      </w:r>
    </w:p>
    <w:p w:rsidR="008D4CBC" w:rsidRPr="008D5A39" w:rsidRDefault="008D4CBC" w:rsidP="008D5A39">
      <w:pPr>
        <w:tabs>
          <w:tab w:val="left" w:pos="4395"/>
        </w:tabs>
        <w:spacing w:after="0"/>
        <w:jc w:val="both"/>
        <w:rPr>
          <w:rFonts w:ascii="Arial" w:hAnsi="Arial" w:cs="Arial"/>
          <w:b/>
          <w:bCs/>
          <w:iCs/>
        </w:rPr>
      </w:pPr>
      <w:r w:rsidRPr="008D5A39">
        <w:rPr>
          <w:rFonts w:ascii="Arial" w:hAnsi="Arial" w:cs="Arial"/>
          <w:b/>
          <w:bCs/>
          <w:iCs/>
        </w:rPr>
        <w:t>ÚP v Pelhřimově</w:t>
      </w:r>
    </w:p>
    <w:p w:rsidR="008D4CBC" w:rsidRPr="008D5A39" w:rsidRDefault="008D4CBC" w:rsidP="008D5A39">
      <w:pPr>
        <w:tabs>
          <w:tab w:val="left" w:pos="4395"/>
        </w:tabs>
        <w:spacing w:after="0"/>
        <w:jc w:val="both"/>
        <w:rPr>
          <w:rFonts w:ascii="Arial" w:hAnsi="Arial" w:cs="Arial"/>
          <w:b/>
          <w:bCs/>
          <w:iCs/>
        </w:rPr>
      </w:pPr>
      <w:r w:rsidRPr="008D5A39">
        <w:rPr>
          <w:rFonts w:ascii="Arial" w:hAnsi="Arial" w:cs="Arial"/>
          <w:b/>
          <w:bCs/>
          <w:iCs/>
        </w:rPr>
        <w:t>ÚP v Třebíči</w:t>
      </w:r>
    </w:p>
    <w:p w:rsidR="008D4CBC" w:rsidRPr="008D5A39" w:rsidRDefault="008D4CBC" w:rsidP="008D5A39">
      <w:pPr>
        <w:tabs>
          <w:tab w:val="left" w:pos="4395"/>
        </w:tabs>
        <w:spacing w:after="0"/>
        <w:jc w:val="both"/>
        <w:rPr>
          <w:rFonts w:ascii="Arial" w:hAnsi="Arial" w:cs="Arial"/>
          <w:b/>
          <w:bCs/>
          <w:iCs/>
        </w:rPr>
      </w:pPr>
      <w:r w:rsidRPr="008D5A39">
        <w:rPr>
          <w:rFonts w:ascii="Arial" w:hAnsi="Arial" w:cs="Arial"/>
          <w:b/>
          <w:bCs/>
          <w:iCs/>
        </w:rPr>
        <w:t>ÚP ve Velkém Meziříčí</w:t>
      </w:r>
    </w:p>
    <w:p w:rsidR="008D4CBC" w:rsidRPr="008D5A39" w:rsidRDefault="008D4CBC" w:rsidP="008D5A39">
      <w:pPr>
        <w:tabs>
          <w:tab w:val="left" w:pos="4395"/>
        </w:tabs>
        <w:spacing w:after="0"/>
        <w:jc w:val="both"/>
        <w:rPr>
          <w:rFonts w:ascii="Arial" w:hAnsi="Arial" w:cs="Arial"/>
          <w:b/>
          <w:bCs/>
          <w:iCs/>
        </w:rPr>
      </w:pPr>
      <w:r w:rsidRPr="008D5A39">
        <w:rPr>
          <w:rFonts w:ascii="Arial" w:hAnsi="Arial" w:cs="Arial"/>
          <w:b/>
          <w:bCs/>
          <w:iCs/>
        </w:rPr>
        <w:t>ÚP ve Žďáru nad Sázavou</w:t>
      </w:r>
    </w:p>
    <w:tbl>
      <w:tblPr>
        <w:tblW w:w="51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</w:tblGrid>
      <w:tr w:rsidR="00A8363D" w:rsidRPr="008D5A39" w:rsidTr="008D4CBC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A8363D" w:rsidRPr="008D5A39" w:rsidRDefault="00A8363D" w:rsidP="008D5A39">
            <w:pPr>
              <w:spacing w:after="0"/>
              <w:rPr>
                <w:rFonts w:ascii="Arial" w:eastAsia="Times New Roman" w:hAnsi="Arial" w:cs="Arial"/>
                <w:b/>
                <w:color w:val="000000"/>
                <w:highlight w:val="yellow"/>
                <w:lang w:eastAsia="cs-CZ"/>
              </w:rPr>
            </w:pPr>
          </w:p>
        </w:tc>
      </w:tr>
      <w:tr w:rsidR="00A8363D" w:rsidRPr="008D5A39" w:rsidTr="008D4CBC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A8363D" w:rsidRPr="008D5A39" w:rsidRDefault="00A8363D" w:rsidP="008D5A39">
            <w:pPr>
              <w:spacing w:after="0"/>
              <w:rPr>
                <w:rFonts w:ascii="Arial" w:eastAsia="Times New Roman" w:hAnsi="Arial" w:cs="Arial"/>
                <w:b/>
                <w:color w:val="000000"/>
                <w:highlight w:val="yellow"/>
                <w:lang w:eastAsia="cs-CZ"/>
              </w:rPr>
            </w:pPr>
          </w:p>
        </w:tc>
      </w:tr>
      <w:tr w:rsidR="00A8363D" w:rsidRPr="008D5A39" w:rsidTr="008D4CBC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A8363D" w:rsidRPr="008D5A39" w:rsidRDefault="00A8363D" w:rsidP="008D5A39">
            <w:pPr>
              <w:spacing w:after="0"/>
              <w:rPr>
                <w:rFonts w:ascii="Arial" w:eastAsia="Times New Roman" w:hAnsi="Arial" w:cs="Arial"/>
                <w:b/>
                <w:color w:val="000000"/>
                <w:highlight w:val="yellow"/>
                <w:lang w:eastAsia="cs-CZ"/>
              </w:rPr>
            </w:pPr>
          </w:p>
        </w:tc>
      </w:tr>
      <w:tr w:rsidR="00A8363D" w:rsidRPr="008D5A39" w:rsidTr="008D4CBC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A8363D" w:rsidRPr="008D5A39" w:rsidRDefault="00A8363D" w:rsidP="008D5A39">
            <w:pPr>
              <w:spacing w:after="0"/>
              <w:rPr>
                <w:rFonts w:ascii="Arial" w:eastAsia="Times New Roman" w:hAnsi="Arial" w:cs="Arial"/>
                <w:b/>
                <w:color w:val="000000"/>
                <w:highlight w:val="yellow"/>
                <w:lang w:eastAsia="cs-CZ"/>
              </w:rPr>
            </w:pPr>
          </w:p>
        </w:tc>
      </w:tr>
      <w:tr w:rsidR="00A8363D" w:rsidRPr="008D5A39" w:rsidTr="008D4CBC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A8363D" w:rsidRPr="008D5A39" w:rsidRDefault="00A8363D" w:rsidP="008D5A39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</w:tr>
    </w:tbl>
    <w:p w:rsidR="00036223" w:rsidRPr="008D5A39" w:rsidRDefault="00036223" w:rsidP="008D5A39">
      <w:pPr>
        <w:tabs>
          <w:tab w:val="left" w:pos="4395"/>
        </w:tabs>
        <w:jc w:val="both"/>
        <w:rPr>
          <w:rFonts w:ascii="Arial" w:hAnsi="Arial" w:cs="Arial"/>
          <w:bCs/>
          <w:iCs/>
        </w:rPr>
      </w:pPr>
    </w:p>
    <w:p w:rsidR="00036223" w:rsidRPr="008D5A39" w:rsidRDefault="00036223" w:rsidP="008D5A39">
      <w:pPr>
        <w:jc w:val="both"/>
        <w:rPr>
          <w:rFonts w:ascii="Arial" w:hAnsi="Arial" w:cs="Arial"/>
        </w:rPr>
      </w:pPr>
      <w:r w:rsidRPr="008D5A39">
        <w:rPr>
          <w:rFonts w:ascii="Arial" w:hAnsi="Arial" w:cs="Arial"/>
          <w:b/>
        </w:rPr>
        <w:t xml:space="preserve">Stále trvá možnost daňovou povinnost uhradit bezhotovostním převodem z účtu, případně prostřednictvím poštovní poukázky typu „A“. </w:t>
      </w:r>
    </w:p>
    <w:p w:rsidR="00D1408F" w:rsidRPr="00D1408F" w:rsidRDefault="00E60C37" w:rsidP="00D1408F">
      <w:pPr>
        <w:tabs>
          <w:tab w:val="left" w:pos="4395"/>
        </w:tabs>
        <w:jc w:val="both"/>
        <w:rPr>
          <w:rFonts w:ascii="Arial" w:hAnsi="Arial" w:cs="Arial"/>
          <w:bCs/>
          <w:iCs/>
        </w:rPr>
      </w:pPr>
      <w:r w:rsidRPr="008D5A39">
        <w:rPr>
          <w:rFonts w:ascii="Arial" w:hAnsi="Arial" w:cs="Arial"/>
          <w:bCs/>
          <w:iCs/>
        </w:rPr>
        <w:t>Jako alternativu nejčastějšího hotovostního placení – úhrady daně z nemovitých věcí</w:t>
      </w:r>
      <w:r w:rsidR="00D1408F">
        <w:rPr>
          <w:rFonts w:ascii="Arial" w:hAnsi="Arial" w:cs="Arial"/>
          <w:bCs/>
          <w:iCs/>
        </w:rPr>
        <w:t xml:space="preserve"> občany</w:t>
      </w:r>
      <w:r w:rsidRPr="008D5A39">
        <w:rPr>
          <w:rFonts w:ascii="Arial" w:hAnsi="Arial" w:cs="Arial"/>
          <w:bCs/>
          <w:iCs/>
        </w:rPr>
        <w:t xml:space="preserve"> - nabízí Finanční správa od ledna příštího roku možnost placení této daně prostřednictvím </w:t>
      </w:r>
      <w:hyperlink r:id="rId9" w:history="1">
        <w:r w:rsidRPr="008D5A39">
          <w:rPr>
            <w:rStyle w:val="Hypertextovodkaz"/>
            <w:rFonts w:ascii="Arial" w:hAnsi="Arial" w:cs="Arial"/>
            <w:bCs/>
            <w:iCs/>
          </w:rPr>
          <w:t>Soustředěné inkasní platby obyvatelstva (SIPO).</w:t>
        </w:r>
      </w:hyperlink>
      <w:r w:rsidR="00D1408F">
        <w:rPr>
          <w:rFonts w:ascii="Arial" w:hAnsi="Arial" w:cs="Arial"/>
          <w:bCs/>
          <w:iCs/>
        </w:rPr>
        <w:t xml:space="preserve"> K této formě placení je možno se přihlásit u </w:t>
      </w:r>
      <w:r w:rsidR="00D1408F" w:rsidRPr="00D1408F">
        <w:rPr>
          <w:rFonts w:ascii="Arial" w:hAnsi="Arial" w:cs="Arial"/>
          <w:bCs/>
          <w:iCs/>
        </w:rPr>
        <w:t>místně a věcně příslušného finanč</w:t>
      </w:r>
      <w:r w:rsidR="00D1408F">
        <w:rPr>
          <w:rFonts w:ascii="Arial" w:hAnsi="Arial" w:cs="Arial"/>
          <w:bCs/>
          <w:iCs/>
        </w:rPr>
        <w:t>ního úřadu</w:t>
      </w:r>
      <w:r w:rsidR="00D1408F" w:rsidRPr="00D1408F">
        <w:rPr>
          <w:rFonts w:ascii="Arial" w:hAnsi="Arial" w:cs="Arial"/>
          <w:bCs/>
          <w:iCs/>
        </w:rPr>
        <w:t xml:space="preserve"> nejpozději do 31. ledna zdaňovacího období, od kterého má být daň prostřednictvím SIPO placena.</w:t>
      </w:r>
    </w:p>
    <w:p w:rsidR="00F11A4F" w:rsidRPr="008D5A39" w:rsidRDefault="00E60C37" w:rsidP="008D5A39">
      <w:pPr>
        <w:tabs>
          <w:tab w:val="left" w:pos="4395"/>
        </w:tabs>
        <w:jc w:val="both"/>
        <w:rPr>
          <w:rFonts w:ascii="Arial" w:hAnsi="Arial" w:cs="Arial"/>
          <w:bCs/>
          <w:iCs/>
        </w:rPr>
      </w:pPr>
      <w:r w:rsidRPr="008D5A39">
        <w:rPr>
          <w:rFonts w:ascii="Arial" w:hAnsi="Arial" w:cs="Arial"/>
          <w:bCs/>
          <w:iCs/>
        </w:rPr>
        <w:t>Pro nejbližší období placení daně z</w:t>
      </w:r>
      <w:r w:rsidR="00D1408F">
        <w:rPr>
          <w:rFonts w:ascii="Arial" w:hAnsi="Arial" w:cs="Arial"/>
          <w:bCs/>
          <w:iCs/>
        </w:rPr>
        <w:t> </w:t>
      </w:r>
      <w:r w:rsidRPr="008D5A39">
        <w:rPr>
          <w:rFonts w:ascii="Arial" w:hAnsi="Arial" w:cs="Arial"/>
          <w:bCs/>
          <w:iCs/>
        </w:rPr>
        <w:t xml:space="preserve">příjmů a daně z nemovitých věcí připravuje Finanční správa </w:t>
      </w:r>
      <w:r w:rsidR="00D1408F">
        <w:rPr>
          <w:rFonts w:ascii="Arial" w:hAnsi="Arial" w:cs="Arial"/>
          <w:bCs/>
          <w:iCs/>
        </w:rPr>
        <w:t xml:space="preserve">pro občany </w:t>
      </w:r>
      <w:r w:rsidRPr="008D5A39">
        <w:rPr>
          <w:rFonts w:ascii="Arial" w:hAnsi="Arial" w:cs="Arial"/>
          <w:bCs/>
          <w:iCs/>
        </w:rPr>
        <w:t>i další alternativu pro platby v hotovosti, jakou byla v minulosti například tzv.</w:t>
      </w:r>
      <w:r w:rsidR="00D1408F">
        <w:rPr>
          <w:rFonts w:ascii="Arial" w:hAnsi="Arial" w:cs="Arial"/>
          <w:bCs/>
          <w:iCs/>
        </w:rPr>
        <w:t xml:space="preserve"> „daňová složenka“, která umožňovala</w:t>
      </w:r>
      <w:r w:rsidRPr="008D5A39">
        <w:rPr>
          <w:rFonts w:ascii="Arial" w:hAnsi="Arial" w:cs="Arial"/>
          <w:bCs/>
          <w:iCs/>
        </w:rPr>
        <w:t xml:space="preserve"> platit daně bezplatně na přepážkách České pošty </w:t>
      </w:r>
      <w:proofErr w:type="gramStart"/>
      <w:r w:rsidRPr="008D5A39">
        <w:rPr>
          <w:rFonts w:ascii="Arial" w:hAnsi="Arial" w:cs="Arial"/>
          <w:bCs/>
          <w:iCs/>
        </w:rPr>
        <w:t>s.p.</w:t>
      </w:r>
      <w:proofErr w:type="gramEnd"/>
      <w:r w:rsidRPr="008D5A39">
        <w:rPr>
          <w:rFonts w:ascii="Arial" w:hAnsi="Arial" w:cs="Arial"/>
          <w:bCs/>
          <w:iCs/>
        </w:rPr>
        <w:t xml:space="preserve"> </w:t>
      </w:r>
      <w:bookmarkStart w:id="0" w:name="_GoBack"/>
      <w:bookmarkEnd w:id="0"/>
    </w:p>
    <w:p w:rsidR="009B5E7E" w:rsidRPr="008D5A39" w:rsidRDefault="009B5E7E" w:rsidP="009B5E7E">
      <w:pPr>
        <w:tabs>
          <w:tab w:val="left" w:pos="4395"/>
        </w:tabs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Finanční správa upřednostňuje u všech finančních převodů bezhotovostní formy placení, </w:t>
      </w:r>
      <w:r w:rsidR="002501F7">
        <w:rPr>
          <w:rFonts w:ascii="Arial" w:hAnsi="Arial" w:cs="Arial"/>
          <w:bCs/>
          <w:iCs/>
        </w:rPr>
        <w:t xml:space="preserve"> občanům jsou však i nadále nabízeny možnosti placení hotovostí.</w:t>
      </w:r>
      <w:r>
        <w:rPr>
          <w:rFonts w:ascii="Arial" w:hAnsi="Arial" w:cs="Arial"/>
          <w:bCs/>
          <w:iCs/>
        </w:rPr>
        <w:t xml:space="preserve"> </w:t>
      </w:r>
    </w:p>
    <w:p w:rsidR="00F11A4F" w:rsidRPr="008D5A39" w:rsidRDefault="008D5A39" w:rsidP="008D5A39">
      <w:pPr>
        <w:tabs>
          <w:tab w:val="left" w:pos="4395"/>
        </w:tabs>
        <w:jc w:val="both"/>
        <w:rPr>
          <w:rFonts w:ascii="Arial" w:hAnsi="Arial" w:cs="Arial"/>
          <w:bCs/>
          <w:iCs/>
        </w:rPr>
      </w:pPr>
      <w:r w:rsidRPr="008D5A39">
        <w:rPr>
          <w:rFonts w:ascii="Arial" w:hAnsi="Arial" w:cs="Arial"/>
        </w:rPr>
        <w:t>Další informace naleznete na webu Finanční správy:</w:t>
      </w:r>
      <w:r w:rsidR="00F11A4F" w:rsidRPr="008D5A39">
        <w:rPr>
          <w:rFonts w:ascii="Arial" w:hAnsi="Arial" w:cs="Arial"/>
        </w:rPr>
        <w:t xml:space="preserve"> </w:t>
      </w:r>
      <w:hyperlink r:id="rId10" w:history="1">
        <w:r w:rsidR="00F11A4F" w:rsidRPr="008D5A39">
          <w:rPr>
            <w:rStyle w:val="Hypertextovodkaz"/>
            <w:rFonts w:ascii="Arial" w:hAnsi="Arial" w:cs="Arial"/>
          </w:rPr>
          <w:t>www.financnisprava.cz</w:t>
        </w:r>
      </w:hyperlink>
      <w:r w:rsidR="00F11A4F" w:rsidRPr="008D5A39">
        <w:rPr>
          <w:rFonts w:ascii="Arial" w:hAnsi="Arial" w:cs="Arial"/>
        </w:rPr>
        <w:t>.</w:t>
      </w:r>
    </w:p>
    <w:p w:rsidR="00F11A4F" w:rsidRPr="008D5A39" w:rsidRDefault="00F11A4F" w:rsidP="008D5A39">
      <w:pPr>
        <w:tabs>
          <w:tab w:val="left" w:pos="4395"/>
        </w:tabs>
        <w:jc w:val="both"/>
        <w:rPr>
          <w:rFonts w:ascii="Arial" w:hAnsi="Arial" w:cs="Arial"/>
          <w:bCs/>
          <w:iCs/>
        </w:rPr>
      </w:pPr>
    </w:p>
    <w:p w:rsidR="00927E00" w:rsidRPr="008D5A39" w:rsidRDefault="00927E00" w:rsidP="008D5A39">
      <w:pPr>
        <w:spacing w:after="0"/>
        <w:rPr>
          <w:rFonts w:ascii="Arial" w:hAnsi="Arial" w:cs="Arial"/>
          <w:szCs w:val="24"/>
        </w:rPr>
      </w:pPr>
      <w:r w:rsidRPr="008D5A39">
        <w:rPr>
          <w:rFonts w:ascii="Arial" w:hAnsi="Arial" w:cs="Arial"/>
          <w:szCs w:val="24"/>
        </w:rPr>
        <w:tab/>
      </w:r>
      <w:r w:rsidRPr="008D5A39">
        <w:rPr>
          <w:rFonts w:ascii="Arial" w:hAnsi="Arial" w:cs="Arial"/>
          <w:szCs w:val="24"/>
        </w:rPr>
        <w:tab/>
      </w:r>
      <w:r w:rsidRPr="008D5A39">
        <w:rPr>
          <w:rFonts w:ascii="Arial" w:hAnsi="Arial" w:cs="Arial"/>
          <w:szCs w:val="24"/>
        </w:rPr>
        <w:tab/>
      </w:r>
      <w:r w:rsidRPr="008D5A39">
        <w:rPr>
          <w:rFonts w:ascii="Arial" w:hAnsi="Arial" w:cs="Arial"/>
          <w:szCs w:val="24"/>
        </w:rPr>
        <w:tab/>
      </w:r>
      <w:r w:rsidRPr="008D5A39">
        <w:rPr>
          <w:rFonts w:ascii="Arial" w:hAnsi="Arial" w:cs="Arial"/>
          <w:szCs w:val="24"/>
        </w:rPr>
        <w:tab/>
      </w:r>
    </w:p>
    <w:sectPr w:rsidR="00927E00" w:rsidRPr="008D5A39" w:rsidSect="001A79CB">
      <w:headerReference w:type="default" r:id="rId11"/>
      <w:pgSz w:w="11906" w:h="16838"/>
      <w:pgMar w:top="2694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15" w:rsidRDefault="00670C15" w:rsidP="00A44ED9">
      <w:pPr>
        <w:spacing w:after="0" w:line="240" w:lineRule="auto"/>
      </w:pPr>
      <w:r>
        <w:separator/>
      </w:r>
    </w:p>
  </w:endnote>
  <w:endnote w:type="continuationSeparator" w:id="0">
    <w:p w:rsidR="00670C15" w:rsidRDefault="00670C15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15" w:rsidRDefault="00670C15" w:rsidP="00A44ED9">
      <w:pPr>
        <w:spacing w:after="0" w:line="240" w:lineRule="auto"/>
      </w:pPr>
      <w:r>
        <w:separator/>
      </w:r>
    </w:p>
  </w:footnote>
  <w:footnote w:type="continuationSeparator" w:id="0">
    <w:p w:rsidR="00670C15" w:rsidRDefault="00670C15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00" w:rsidRPr="00BC5C27" w:rsidRDefault="00BC5C27" w:rsidP="00BC5C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4E4682C" wp14:editId="397D1F00">
          <wp:simplePos x="0" y="0"/>
          <wp:positionH relativeFrom="column">
            <wp:posOffset>-823595</wp:posOffset>
          </wp:positionH>
          <wp:positionV relativeFrom="paragraph">
            <wp:posOffset>-1905</wp:posOffset>
          </wp:positionV>
          <wp:extent cx="7836649" cy="129540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649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14F37"/>
    <w:rsid w:val="00036223"/>
    <w:rsid w:val="00036556"/>
    <w:rsid w:val="00095605"/>
    <w:rsid w:val="000A3A20"/>
    <w:rsid w:val="000C2E57"/>
    <w:rsid w:val="000C5A2B"/>
    <w:rsid w:val="000C6921"/>
    <w:rsid w:val="00124940"/>
    <w:rsid w:val="00127ADC"/>
    <w:rsid w:val="00137D37"/>
    <w:rsid w:val="00167CB6"/>
    <w:rsid w:val="00173981"/>
    <w:rsid w:val="00177455"/>
    <w:rsid w:val="00197FA0"/>
    <w:rsid w:val="001A79CB"/>
    <w:rsid w:val="001C3C8C"/>
    <w:rsid w:val="001D6801"/>
    <w:rsid w:val="002015D2"/>
    <w:rsid w:val="00221773"/>
    <w:rsid w:val="00234775"/>
    <w:rsid w:val="0023481C"/>
    <w:rsid w:val="00236496"/>
    <w:rsid w:val="002501F7"/>
    <w:rsid w:val="00250CE7"/>
    <w:rsid w:val="00283086"/>
    <w:rsid w:val="00284A87"/>
    <w:rsid w:val="00295063"/>
    <w:rsid w:val="00297E72"/>
    <w:rsid w:val="002B643F"/>
    <w:rsid w:val="002E3898"/>
    <w:rsid w:val="002E6C2B"/>
    <w:rsid w:val="002F15A0"/>
    <w:rsid w:val="0030764D"/>
    <w:rsid w:val="00316B2E"/>
    <w:rsid w:val="00317706"/>
    <w:rsid w:val="00354C2E"/>
    <w:rsid w:val="00367AA3"/>
    <w:rsid w:val="00371F14"/>
    <w:rsid w:val="003738E2"/>
    <w:rsid w:val="00375E41"/>
    <w:rsid w:val="003870AE"/>
    <w:rsid w:val="003964F7"/>
    <w:rsid w:val="003A1DAA"/>
    <w:rsid w:val="003C1ED9"/>
    <w:rsid w:val="003C3CD9"/>
    <w:rsid w:val="003F5555"/>
    <w:rsid w:val="00401E27"/>
    <w:rsid w:val="00414D97"/>
    <w:rsid w:val="00420A57"/>
    <w:rsid w:val="004324F8"/>
    <w:rsid w:val="00471682"/>
    <w:rsid w:val="004731AF"/>
    <w:rsid w:val="0047347D"/>
    <w:rsid w:val="00477A5E"/>
    <w:rsid w:val="00496558"/>
    <w:rsid w:val="004A3974"/>
    <w:rsid w:val="004B24D2"/>
    <w:rsid w:val="004B6BA4"/>
    <w:rsid w:val="004D3786"/>
    <w:rsid w:val="004E5FDB"/>
    <w:rsid w:val="00502F37"/>
    <w:rsid w:val="005117FD"/>
    <w:rsid w:val="005264BC"/>
    <w:rsid w:val="0054766B"/>
    <w:rsid w:val="00591181"/>
    <w:rsid w:val="00596A78"/>
    <w:rsid w:val="005B6263"/>
    <w:rsid w:val="005C3F73"/>
    <w:rsid w:val="005E780A"/>
    <w:rsid w:val="005F1F28"/>
    <w:rsid w:val="00604C08"/>
    <w:rsid w:val="006108D5"/>
    <w:rsid w:val="00660596"/>
    <w:rsid w:val="00661F87"/>
    <w:rsid w:val="0066293F"/>
    <w:rsid w:val="006665B6"/>
    <w:rsid w:val="00670C15"/>
    <w:rsid w:val="006871A7"/>
    <w:rsid w:val="006949D4"/>
    <w:rsid w:val="006973DC"/>
    <w:rsid w:val="006A4D57"/>
    <w:rsid w:val="006B1D85"/>
    <w:rsid w:val="006B5C67"/>
    <w:rsid w:val="006B748A"/>
    <w:rsid w:val="006E5CDC"/>
    <w:rsid w:val="006E6330"/>
    <w:rsid w:val="006F798C"/>
    <w:rsid w:val="007164BC"/>
    <w:rsid w:val="00731978"/>
    <w:rsid w:val="00743D76"/>
    <w:rsid w:val="007519F1"/>
    <w:rsid w:val="007570C8"/>
    <w:rsid w:val="00764B7F"/>
    <w:rsid w:val="00773ECF"/>
    <w:rsid w:val="007A73F1"/>
    <w:rsid w:val="007B4B64"/>
    <w:rsid w:val="007D36D2"/>
    <w:rsid w:val="007E004A"/>
    <w:rsid w:val="007F0135"/>
    <w:rsid w:val="00827A76"/>
    <w:rsid w:val="00850F63"/>
    <w:rsid w:val="00857471"/>
    <w:rsid w:val="00871F66"/>
    <w:rsid w:val="008B5078"/>
    <w:rsid w:val="008D4CBC"/>
    <w:rsid w:val="008D5A39"/>
    <w:rsid w:val="00922C3F"/>
    <w:rsid w:val="00923D62"/>
    <w:rsid w:val="00927E00"/>
    <w:rsid w:val="009538B0"/>
    <w:rsid w:val="009555E6"/>
    <w:rsid w:val="00981066"/>
    <w:rsid w:val="00984027"/>
    <w:rsid w:val="00992998"/>
    <w:rsid w:val="00993A21"/>
    <w:rsid w:val="009A2345"/>
    <w:rsid w:val="009A7559"/>
    <w:rsid w:val="009B39A4"/>
    <w:rsid w:val="009B5E7E"/>
    <w:rsid w:val="009D7BBF"/>
    <w:rsid w:val="009F65E9"/>
    <w:rsid w:val="00A06673"/>
    <w:rsid w:val="00A27B85"/>
    <w:rsid w:val="00A42D28"/>
    <w:rsid w:val="00A44998"/>
    <w:rsid w:val="00A44ED9"/>
    <w:rsid w:val="00A45E13"/>
    <w:rsid w:val="00A50C45"/>
    <w:rsid w:val="00A61E5F"/>
    <w:rsid w:val="00A72707"/>
    <w:rsid w:val="00A73858"/>
    <w:rsid w:val="00A75DA9"/>
    <w:rsid w:val="00A81FD5"/>
    <w:rsid w:val="00A8363D"/>
    <w:rsid w:val="00A867E7"/>
    <w:rsid w:val="00A96CFE"/>
    <w:rsid w:val="00AA4F6A"/>
    <w:rsid w:val="00AA6B5E"/>
    <w:rsid w:val="00AB6599"/>
    <w:rsid w:val="00AC5CD7"/>
    <w:rsid w:val="00B127BF"/>
    <w:rsid w:val="00B37DFC"/>
    <w:rsid w:val="00B44692"/>
    <w:rsid w:val="00B51844"/>
    <w:rsid w:val="00B565D1"/>
    <w:rsid w:val="00B70224"/>
    <w:rsid w:val="00B8406A"/>
    <w:rsid w:val="00BA3030"/>
    <w:rsid w:val="00BB3E46"/>
    <w:rsid w:val="00BC2F1A"/>
    <w:rsid w:val="00BC5C27"/>
    <w:rsid w:val="00BD20B4"/>
    <w:rsid w:val="00C00C2B"/>
    <w:rsid w:val="00C674C5"/>
    <w:rsid w:val="00CD1AC2"/>
    <w:rsid w:val="00CD5A24"/>
    <w:rsid w:val="00CE2E85"/>
    <w:rsid w:val="00CE5CEB"/>
    <w:rsid w:val="00D00D77"/>
    <w:rsid w:val="00D1408F"/>
    <w:rsid w:val="00D140CA"/>
    <w:rsid w:val="00D37861"/>
    <w:rsid w:val="00D540FC"/>
    <w:rsid w:val="00D61506"/>
    <w:rsid w:val="00D949D9"/>
    <w:rsid w:val="00DA1B1D"/>
    <w:rsid w:val="00DA2F4F"/>
    <w:rsid w:val="00DB5C12"/>
    <w:rsid w:val="00DB6709"/>
    <w:rsid w:val="00DB6E06"/>
    <w:rsid w:val="00DE098D"/>
    <w:rsid w:val="00DE375F"/>
    <w:rsid w:val="00DE5408"/>
    <w:rsid w:val="00E22ECD"/>
    <w:rsid w:val="00E3143D"/>
    <w:rsid w:val="00E453E6"/>
    <w:rsid w:val="00E60C37"/>
    <w:rsid w:val="00E64169"/>
    <w:rsid w:val="00E64D21"/>
    <w:rsid w:val="00E67E40"/>
    <w:rsid w:val="00EA16F0"/>
    <w:rsid w:val="00EB3F87"/>
    <w:rsid w:val="00EC166E"/>
    <w:rsid w:val="00EE378F"/>
    <w:rsid w:val="00EF387F"/>
    <w:rsid w:val="00F11A4F"/>
    <w:rsid w:val="00F13DE4"/>
    <w:rsid w:val="00F42E24"/>
    <w:rsid w:val="00F9269D"/>
    <w:rsid w:val="00F97A45"/>
    <w:rsid w:val="00FA456E"/>
    <w:rsid w:val="00FA696B"/>
    <w:rsid w:val="00FB3A08"/>
    <w:rsid w:val="00FC121C"/>
    <w:rsid w:val="00F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0A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8D5"/>
    <w:rPr>
      <w:rFonts w:ascii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Zhlav">
    <w:name w:val="header"/>
    <w:basedOn w:val="Normln"/>
    <w:link w:val="ZhlavChar"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4ED9"/>
    <w:rPr>
      <w:rFonts w:cs="Times New Roman"/>
    </w:rPr>
  </w:style>
  <w:style w:type="paragraph" w:styleId="Zpat">
    <w:name w:val="footer"/>
    <w:basedOn w:val="Normln"/>
    <w:link w:val="ZpatChar"/>
    <w:uiPriority w:val="99"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4ED9"/>
    <w:rPr>
      <w:rFonts w:cs="Times New Roman"/>
    </w:rPr>
  </w:style>
  <w:style w:type="character" w:styleId="Hypertextovodkaz">
    <w:name w:val="Hyperlink"/>
    <w:basedOn w:val="Standardnpsmoodstavce"/>
    <w:uiPriority w:val="99"/>
    <w:rsid w:val="00A44ED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2B643F"/>
    <w:rPr>
      <w:rFonts w:cs="Times New Roman"/>
      <w:color w:val="800080"/>
      <w:u w:val="single"/>
    </w:rPr>
  </w:style>
  <w:style w:type="paragraph" w:customStyle="1" w:styleId="s3">
    <w:name w:val="s3"/>
    <w:basedOn w:val="Normln"/>
    <w:uiPriority w:val="99"/>
    <w:rsid w:val="004E5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uiPriority w:val="99"/>
    <w:rsid w:val="003964F7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A75DA9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75DA9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6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15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A867E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867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C12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86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C12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0A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8D5"/>
    <w:rPr>
      <w:rFonts w:ascii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Zhlav">
    <w:name w:val="header"/>
    <w:basedOn w:val="Normln"/>
    <w:link w:val="ZhlavChar"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4ED9"/>
    <w:rPr>
      <w:rFonts w:cs="Times New Roman"/>
    </w:rPr>
  </w:style>
  <w:style w:type="paragraph" w:styleId="Zpat">
    <w:name w:val="footer"/>
    <w:basedOn w:val="Normln"/>
    <w:link w:val="ZpatChar"/>
    <w:uiPriority w:val="99"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4ED9"/>
    <w:rPr>
      <w:rFonts w:cs="Times New Roman"/>
    </w:rPr>
  </w:style>
  <w:style w:type="character" w:styleId="Hypertextovodkaz">
    <w:name w:val="Hyperlink"/>
    <w:basedOn w:val="Standardnpsmoodstavce"/>
    <w:uiPriority w:val="99"/>
    <w:rsid w:val="00A44ED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2B643F"/>
    <w:rPr>
      <w:rFonts w:cs="Times New Roman"/>
      <w:color w:val="800080"/>
      <w:u w:val="single"/>
    </w:rPr>
  </w:style>
  <w:style w:type="paragraph" w:customStyle="1" w:styleId="s3">
    <w:name w:val="s3"/>
    <w:basedOn w:val="Normln"/>
    <w:uiPriority w:val="99"/>
    <w:rsid w:val="004E5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uiPriority w:val="99"/>
    <w:rsid w:val="003964F7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A75DA9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75DA9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6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15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A867E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867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C12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86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C1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/assets/cs/obrazky/fs/seznam-UzP-se-zrusenymi-pokladnami.xls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cs/dane-a-pojistne/dane/dan-z-nemovitych-veci/sip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GENERÁLNÍ FINANČNÍ ŘEDITELSTVÍ</vt:lpstr>
    </vt:vector>
  </TitlesOfParts>
  <Company>GFŘ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GENERÁLNÍ FINANČNÍ ŘEDITELSTVÍ</dc:title>
  <dc:creator>Jan Vávra (GFŘ)</dc:creator>
  <cp:lastModifiedBy>Tomek Josef Ing. (FÚ pro Kraj Vysočina)</cp:lastModifiedBy>
  <cp:revision>6</cp:revision>
  <cp:lastPrinted>2015-08-11T06:32:00Z</cp:lastPrinted>
  <dcterms:created xsi:type="dcterms:W3CDTF">2015-08-11T06:20:00Z</dcterms:created>
  <dcterms:modified xsi:type="dcterms:W3CDTF">2015-08-11T11:38:00Z</dcterms:modified>
</cp:coreProperties>
</file>